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BOARD OF PUBLIC WORKS AND SAFETY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MONDAY MAY 22, 2023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AT 9 AM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OLD BUSINESS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1. Approve Minutes from Board of Public Works and Safety Meeting May 8, 2023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2. Other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NEW BUSINESS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1. Request to Surplus Vehicles – Terre Haute Police Department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2. Request to Surplus Vehicles – Department of Engineering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3. Suit Authorization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4. Payroll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5. PO Registers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6. Work Order #2 – Miscellaneous Repair to Curb, Curb and Gutter, Handicap Ramps and Other Concrete Flatwork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D8121E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7. Request from 12 Points Historic District to close Lafayette from Maple to Phillips on June 2</w:t>
      </w:r>
      <w:r w:rsidRPr="00D8121E">
        <w:rPr>
          <w:b/>
          <w:color w:val="2F5496" w:themeColor="accent5" w:themeShade="BF"/>
          <w:vertAlign w:val="superscript"/>
        </w:rPr>
        <w:t>nd</w:t>
      </w:r>
      <w:r>
        <w:rPr>
          <w:b/>
          <w:color w:val="2F5496" w:themeColor="accent5" w:themeShade="BF"/>
        </w:rPr>
        <w:t xml:space="preserve"> from 3 PM to 10 PM</w:t>
      </w:r>
    </w:p>
    <w:p w:rsidR="00D8121E" w:rsidRDefault="00D8121E" w:rsidP="002C0473">
      <w:pPr>
        <w:spacing w:line="240" w:lineRule="auto"/>
        <w:contextualSpacing/>
        <w:rPr>
          <w:b/>
          <w:color w:val="2F5496" w:themeColor="accent5" w:themeShade="BF"/>
        </w:rPr>
      </w:pPr>
      <w:bookmarkStart w:id="0" w:name="_GoBack"/>
      <w:bookmarkEnd w:id="0"/>
    </w:p>
    <w:p w:rsidR="00D8121E" w:rsidRDefault="00D8121E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8. Other</w:t>
      </w: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P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sectPr w:rsidR="002C0473" w:rsidRPr="002C0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73"/>
    <w:rsid w:val="000677D9"/>
    <w:rsid w:val="000B5071"/>
    <w:rsid w:val="002C0473"/>
    <w:rsid w:val="00D8121E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0DC7"/>
  <w15:chartTrackingRefBased/>
  <w15:docId w15:val="{2AC308CD-2F22-4FD2-B36B-10AE34D1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cp:lastPrinted>2023-05-18T12:41:00Z</cp:lastPrinted>
  <dcterms:created xsi:type="dcterms:W3CDTF">2023-05-12T12:41:00Z</dcterms:created>
  <dcterms:modified xsi:type="dcterms:W3CDTF">2023-05-18T12:41:00Z</dcterms:modified>
</cp:coreProperties>
</file>